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36"/>
          <w:rFonts w:eastAsia="方正小标宋简体"/>
          <w:bCs w:val="0"/>
          <w:color w:val="auto"/>
          <w:sz w:val="36"/>
          <w:szCs w:val="36"/>
        </w:rPr>
      </w:pPr>
      <w:bookmarkStart w:id="0" w:name="_Hlk95904324"/>
      <w:bookmarkStart w:id="1" w:name="_Hlk95904310"/>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bookmarkEnd w:id="0"/>
    <w:p>
      <w:pPr>
        <w:spacing w:line="440" w:lineRule="exact"/>
        <w:rPr>
          <w:rFonts w:eastAsia="仿宋_GB2312"/>
          <w:sz w:val="28"/>
          <w:szCs w:val="24"/>
        </w:rPr>
      </w:pPr>
      <w:r>
        <w:rPr>
          <w:rFonts w:eastAsia="仿宋_GB2312"/>
          <w:sz w:val="28"/>
          <w:szCs w:val="24"/>
        </w:rPr>
        <w:t>提名奖项：技术发明奖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rPr>
            </w:pPr>
            <w:bookmarkStart w:id="2" w:name="_GoBack"/>
            <w:r>
              <w:rPr>
                <w:rStyle w:val="36"/>
                <w:rFonts w:hint="eastAsia" w:eastAsia="仿宋_GB2312"/>
                <w:b w:val="0"/>
                <w:color w:val="auto"/>
              </w:rPr>
              <w:t>基于工业以太网的多轴运动控制关键技术及应用</w:t>
            </w:r>
            <w:bookmarkEnd w:id="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rPr>
            </w:pPr>
            <w:r>
              <w:rPr>
                <w:rStyle w:val="36"/>
                <w:rFonts w:hint="eastAsia" w:eastAsia="仿宋_GB2312"/>
                <w:b w:val="0"/>
                <w:color w:val="auto"/>
              </w:rPr>
              <w:t>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3" w:hRule="atLeast"/>
        </w:trPr>
        <w:tc>
          <w:tcPr>
            <w:tcW w:w="2269" w:type="dxa"/>
            <w:vAlign w:val="center"/>
          </w:tcPr>
          <w:p>
            <w:pPr>
              <w:spacing w:line="440" w:lineRule="exact"/>
              <w:jc w:val="center"/>
              <w:rPr>
                <w:rFonts w:eastAsia="仿宋_GB2312"/>
                <w:bCs/>
                <w:sz w:val="28"/>
                <w:szCs w:val="24"/>
              </w:rPr>
            </w:pPr>
            <w:r>
              <w:rPr>
                <w:rFonts w:eastAsia="仿宋_GB2312"/>
                <w:bCs/>
                <w:sz w:val="28"/>
                <w:szCs w:val="24"/>
              </w:rPr>
              <w:t>提名书</w:t>
            </w:r>
          </w:p>
          <w:p>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pPr>
              <w:spacing w:line="440" w:lineRule="exact"/>
              <w:jc w:val="left"/>
              <w:rPr>
                <w:rFonts w:eastAsia="仿宋_GB2312"/>
                <w:bCs/>
                <w:sz w:val="24"/>
                <w:szCs w:val="24"/>
              </w:rPr>
            </w:pPr>
            <w:r>
              <w:rPr>
                <w:rFonts w:hint="eastAsia" w:eastAsia="仿宋_GB2312"/>
                <w:bCs/>
                <w:sz w:val="24"/>
                <w:szCs w:val="24"/>
              </w:rPr>
              <w:t>详见附件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pPr>
              <w:spacing w:line="440" w:lineRule="exact"/>
              <w:rPr>
                <w:rFonts w:eastAsia="仿宋_GB2312"/>
                <w:bCs/>
                <w:sz w:val="24"/>
                <w:szCs w:val="24"/>
              </w:rPr>
            </w:pPr>
            <w:r>
              <w:rPr>
                <w:rFonts w:hint="eastAsia" w:eastAsia="仿宋_GB2312"/>
                <w:bCs/>
                <w:sz w:val="24"/>
                <w:szCs w:val="24"/>
              </w:rPr>
              <w:t>董辉，排名</w:t>
            </w:r>
            <w:r>
              <w:rPr>
                <w:rFonts w:eastAsia="仿宋_GB2312"/>
                <w:bCs/>
                <w:sz w:val="24"/>
                <w:szCs w:val="24"/>
              </w:rPr>
              <w:t>1</w:t>
            </w:r>
            <w:r>
              <w:rPr>
                <w:rFonts w:hint="eastAsia" w:eastAsia="仿宋_GB2312"/>
                <w:bCs/>
                <w:sz w:val="24"/>
                <w:szCs w:val="24"/>
              </w:rPr>
              <w:t>，教授，浙江工业大学；</w:t>
            </w:r>
          </w:p>
          <w:p>
            <w:pPr>
              <w:spacing w:line="440" w:lineRule="exact"/>
              <w:rPr>
                <w:rFonts w:eastAsia="仿宋_GB2312"/>
                <w:bCs/>
                <w:sz w:val="24"/>
                <w:szCs w:val="24"/>
              </w:rPr>
            </w:pPr>
            <w:r>
              <w:rPr>
                <w:rFonts w:hint="eastAsia" w:eastAsia="仿宋_GB2312"/>
                <w:bCs/>
                <w:sz w:val="24"/>
                <w:szCs w:val="24"/>
              </w:rPr>
              <w:t>张文安，排名</w:t>
            </w:r>
            <w:r>
              <w:rPr>
                <w:rFonts w:eastAsia="仿宋_GB2312"/>
                <w:bCs/>
                <w:sz w:val="24"/>
                <w:szCs w:val="24"/>
              </w:rPr>
              <w:t>2</w:t>
            </w:r>
            <w:r>
              <w:rPr>
                <w:rFonts w:hint="eastAsia" w:eastAsia="仿宋_GB2312"/>
                <w:bCs/>
                <w:sz w:val="24"/>
                <w:szCs w:val="24"/>
              </w:rPr>
              <w:t>，教授，浙江工业大学；</w:t>
            </w:r>
          </w:p>
          <w:p>
            <w:pPr>
              <w:spacing w:line="440" w:lineRule="exact"/>
              <w:rPr>
                <w:rFonts w:eastAsia="仿宋_GB2312"/>
                <w:bCs/>
                <w:sz w:val="24"/>
                <w:szCs w:val="24"/>
              </w:rPr>
            </w:pPr>
            <w:r>
              <w:rPr>
                <w:rFonts w:hint="eastAsia" w:eastAsia="仿宋_GB2312"/>
                <w:bCs/>
                <w:sz w:val="24"/>
                <w:szCs w:val="24"/>
              </w:rPr>
              <w:t>俞立，排名</w:t>
            </w:r>
            <w:r>
              <w:rPr>
                <w:rFonts w:eastAsia="仿宋_GB2312"/>
                <w:bCs/>
                <w:sz w:val="24"/>
                <w:szCs w:val="24"/>
              </w:rPr>
              <w:t>3</w:t>
            </w:r>
            <w:r>
              <w:rPr>
                <w:rFonts w:hint="eastAsia" w:eastAsia="仿宋_GB2312"/>
                <w:bCs/>
                <w:sz w:val="24"/>
                <w:szCs w:val="24"/>
              </w:rPr>
              <w:t>，教授，浙江工业大学；</w:t>
            </w:r>
          </w:p>
          <w:p>
            <w:pPr>
              <w:spacing w:line="440" w:lineRule="exact"/>
              <w:rPr>
                <w:rFonts w:eastAsia="仿宋_GB2312"/>
                <w:bCs/>
                <w:sz w:val="24"/>
                <w:szCs w:val="24"/>
              </w:rPr>
            </w:pPr>
            <w:r>
              <w:rPr>
                <w:rFonts w:hint="eastAsia" w:eastAsia="仿宋_GB2312"/>
                <w:bCs/>
                <w:sz w:val="24"/>
                <w:szCs w:val="24"/>
              </w:rPr>
              <w:t>刘安东，排名</w:t>
            </w:r>
            <w:r>
              <w:rPr>
                <w:rFonts w:eastAsia="仿宋_GB2312"/>
                <w:bCs/>
                <w:sz w:val="24"/>
                <w:szCs w:val="24"/>
              </w:rPr>
              <w:t>4</w:t>
            </w:r>
            <w:r>
              <w:rPr>
                <w:rFonts w:hint="eastAsia" w:eastAsia="仿宋_GB2312"/>
                <w:bCs/>
                <w:sz w:val="24"/>
                <w:szCs w:val="24"/>
              </w:rPr>
              <w:t>，副教授，浙江工业大学；</w:t>
            </w:r>
          </w:p>
          <w:p>
            <w:pPr>
              <w:spacing w:line="440" w:lineRule="exact"/>
              <w:rPr>
                <w:rFonts w:eastAsia="仿宋_GB2312"/>
                <w:bCs/>
                <w:sz w:val="24"/>
                <w:szCs w:val="24"/>
              </w:rPr>
            </w:pPr>
            <w:r>
              <w:rPr>
                <w:rFonts w:hint="eastAsia" w:eastAsia="仿宋_GB2312"/>
                <w:bCs/>
                <w:sz w:val="24"/>
                <w:szCs w:val="24"/>
              </w:rPr>
              <w:t>吴祥，排名</w:t>
            </w:r>
            <w:r>
              <w:rPr>
                <w:rFonts w:eastAsia="仿宋_GB2312"/>
                <w:bCs/>
                <w:sz w:val="24"/>
                <w:szCs w:val="24"/>
              </w:rPr>
              <w:t>5</w:t>
            </w:r>
            <w:r>
              <w:rPr>
                <w:rFonts w:hint="eastAsia" w:eastAsia="仿宋_GB2312"/>
                <w:bCs/>
                <w:sz w:val="24"/>
                <w:szCs w:val="24"/>
              </w:rPr>
              <w:t>，中级，浙江工业大学；</w:t>
            </w:r>
          </w:p>
          <w:p>
            <w:pPr>
              <w:spacing w:line="440" w:lineRule="exact"/>
              <w:rPr>
                <w:rFonts w:eastAsia="仿宋_GB2312"/>
                <w:bCs/>
                <w:sz w:val="24"/>
                <w:szCs w:val="24"/>
              </w:rPr>
            </w:pPr>
            <w:r>
              <w:rPr>
                <w:rFonts w:hint="eastAsia" w:eastAsia="仿宋_GB2312"/>
                <w:bCs/>
                <w:sz w:val="24"/>
                <w:szCs w:val="24"/>
              </w:rPr>
              <w:t>王军晓，排名</w:t>
            </w:r>
            <w:r>
              <w:rPr>
                <w:rFonts w:eastAsia="仿宋_GB2312"/>
                <w:bCs/>
                <w:sz w:val="24"/>
                <w:szCs w:val="24"/>
              </w:rPr>
              <w:t>6</w:t>
            </w:r>
            <w:r>
              <w:rPr>
                <w:rFonts w:hint="eastAsia" w:eastAsia="仿宋_GB2312"/>
                <w:bCs/>
                <w:sz w:val="24"/>
                <w:szCs w:val="24"/>
              </w:rPr>
              <w:t>，讲师，浙江工业大学；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atLeast"/>
        </w:trPr>
        <w:tc>
          <w:tcPr>
            <w:tcW w:w="2269" w:type="dxa"/>
            <w:tcBorders>
              <w:right w:val="single" w:color="auto" w:sz="4" w:space="0"/>
            </w:tcBorders>
            <w:vAlign w:val="center"/>
          </w:tcPr>
          <w:p>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pPr>
              <w:spacing w:line="440" w:lineRule="exact"/>
              <w:jc w:val="left"/>
              <w:rPr>
                <w:rFonts w:eastAsia="仿宋_GB2312"/>
                <w:bCs/>
                <w:sz w:val="24"/>
                <w:szCs w:val="24"/>
              </w:rPr>
            </w:pPr>
            <w:r>
              <w:rPr>
                <w:rFonts w:hint="eastAsia" w:eastAsia="仿宋_GB2312"/>
                <w:bCs/>
                <w:sz w:val="24"/>
                <w:szCs w:val="24"/>
              </w:rPr>
              <w:t>1.浙江工业大学</w:t>
            </w:r>
          </w:p>
          <w:p>
            <w:pPr>
              <w:spacing w:line="440" w:lineRule="exact"/>
              <w:jc w:val="left"/>
              <w:rPr>
                <w:rFonts w:eastAsia="仿宋_GB2312"/>
                <w:bCs/>
                <w:sz w:val="24"/>
                <w:szCs w:val="24"/>
              </w:rPr>
            </w:pPr>
            <w:r>
              <w:rPr>
                <w:rFonts w:hint="eastAsia" w:eastAsia="仿宋_GB2312"/>
                <w:bCs/>
                <w:sz w:val="24"/>
                <w:szCs w:val="24"/>
              </w:rPr>
              <w:t>2.杭州展晖科技有限公司</w:t>
            </w:r>
          </w:p>
          <w:p>
            <w:pPr>
              <w:spacing w:line="440" w:lineRule="exact"/>
              <w:jc w:val="left"/>
              <w:rPr>
                <w:rFonts w:eastAsia="仿宋"/>
                <w:bCs/>
                <w:sz w:val="24"/>
                <w:szCs w:val="24"/>
              </w:rPr>
            </w:pPr>
            <w:r>
              <w:rPr>
                <w:rFonts w:hint="eastAsia" w:eastAsia="仿宋_GB2312"/>
                <w:bCs/>
                <w:sz w:val="24"/>
                <w:szCs w:val="24"/>
              </w:rPr>
              <w:t>3.浙江禾川科技股份有限公司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r>
              <w:rPr>
                <w:rFonts w:eastAsia="仿宋_GB2312"/>
                <w:sz w:val="24"/>
                <w:szCs w:val="24"/>
              </w:rPr>
              <w:t>浙江省教育厅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ind w:firstLine="480" w:firstLineChars="200"/>
              <w:contextualSpacing/>
              <w:rPr>
                <w:rFonts w:eastAsia="仿宋_GB2312"/>
                <w:sz w:val="24"/>
                <w:szCs w:val="24"/>
              </w:rPr>
            </w:pPr>
            <w:r>
              <w:rPr>
                <w:rFonts w:hint="eastAsia" w:eastAsia="仿宋_GB2312"/>
                <w:sz w:val="24"/>
                <w:szCs w:val="24"/>
              </w:rPr>
              <w:t>随着“智能制造”、“未来工厂”等国家重大战略的全面实施，开放式网络化总线运动控制系统逐渐取代了传统以脉冲为基础的PLC、PCI卡等运动控制器，并成为国际主流。但在对实时性要求非常高的运动控制领域，网络所带来的延时、抖动对传统的运动控制方法带来了新的挑战。</w:t>
            </w:r>
          </w:p>
          <w:p>
            <w:pPr>
              <w:ind w:firstLine="480" w:firstLineChars="200"/>
              <w:contextualSpacing/>
              <w:rPr>
                <w:rStyle w:val="36"/>
                <w:rFonts w:eastAsia="仿宋_GB2312"/>
                <w:b w:val="0"/>
                <w:color w:val="auto"/>
              </w:rPr>
            </w:pPr>
            <w:r>
              <w:rPr>
                <w:rFonts w:hint="eastAsia" w:eastAsia="仿宋_GB2312"/>
                <w:sz w:val="24"/>
                <w:szCs w:val="24"/>
              </w:rPr>
              <w:t>该成果针对我国工业转型发展中工业机器人及高端装备等对网络化控制技术的迫切需求，开展了长期的产学研合作研究，发明了基于扰动估计与补偿的高精度网络化多轴同步控制技术、基于参数自适应整定的网络化多轴轮廓跟踪控制技术、离散型动态速度优化和实时变周期插补控制技术，自主开发了基于工业以太网的高速高精度运动控制系统，攻克了非实时操作系统下网络化运动控制精度不稳定的难题，达到了多节点间几十纳秒量级的同步响应，显著降低了网络、负载、工况等不确定性对系统的影响，提高了系统的精度及开放性，实现了自主安全可控的国产替代，降低了产品的整体价格。系列产品在工业机器人、模切机、裁床等领域大面积推广应用，为国内传统产业机器换人的普及做出了重要贡献。相关技术取得授权国家发明专利30项，发表高水平期刊论文20篇；产生经济效益11亿元以上，经济效益显著。相关成果获浙江省基金委主页的高度评价，被浙江卫视、浙江经视、中国科技产业等媒体专题报道。经鉴定，项目总体技术达到国际先进水平，其中多项技术达到国际领先水平。</w:t>
            </w:r>
          </w:p>
        </w:tc>
      </w:tr>
    </w:tbl>
    <w:p>
      <w:pPr>
        <w:adjustRightInd w:val="0"/>
        <w:snapToGrid w:val="0"/>
        <w:spacing w:line="560" w:lineRule="exact"/>
        <w:rPr>
          <w:rFonts w:eastAsia="仿宋_GB2312"/>
          <w:sz w:val="32"/>
          <w:szCs w:val="32"/>
        </w:rPr>
      </w:pPr>
    </w:p>
    <w:bookmarkEnd w:id="1"/>
    <w:p>
      <w:pPr>
        <w:jc w:val="center"/>
        <w:rPr>
          <w:rFonts w:eastAsia="方正黑体简体"/>
          <w:sz w:val="32"/>
          <w:szCs w:val="22"/>
        </w:rPr>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pPr>
    </w:p>
    <w:p>
      <w:pPr>
        <w:jc w:val="center"/>
        <w:rPr>
          <w:rFonts w:eastAsia="方正黑体简体"/>
          <w:sz w:val="32"/>
          <w:szCs w:val="22"/>
        </w:rPr>
      </w:pPr>
      <w:r>
        <w:rPr>
          <w:rFonts w:eastAsia="方正黑体简体"/>
          <w:sz w:val="32"/>
          <w:szCs w:val="22"/>
        </w:rPr>
        <w:t>七、主要知识产权和标准规范目录（不超过10件）</w:t>
      </w:r>
    </w:p>
    <w:tbl>
      <w:tblPr>
        <w:tblStyle w:val="16"/>
        <w:tblW w:w="1448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vAlign w:val="center"/>
          </w:tcPr>
          <w:p>
            <w:pPr>
              <w:jc w:val="center"/>
              <w:rPr>
                <w:rFonts w:eastAsia="仿宋_GB2312"/>
                <w:sz w:val="24"/>
                <w:szCs w:val="21"/>
              </w:rPr>
            </w:pPr>
            <w:r>
              <w:rPr>
                <w:rFonts w:eastAsia="仿宋_GB2312"/>
                <w:sz w:val="24"/>
                <w:szCs w:val="21"/>
              </w:rPr>
              <w:t>知识产权</w:t>
            </w:r>
          </w:p>
          <w:p>
            <w:pPr>
              <w:jc w:val="center"/>
              <w:rPr>
                <w:rFonts w:eastAsia="仿宋_GB2312"/>
                <w:sz w:val="24"/>
                <w:szCs w:val="21"/>
              </w:rPr>
            </w:pPr>
            <w:r>
              <w:rPr>
                <w:rFonts w:eastAsia="仿宋_GB2312"/>
                <w:sz w:val="24"/>
                <w:szCs w:val="21"/>
              </w:rPr>
              <w:t>（标准规范）类别</w:t>
            </w:r>
          </w:p>
        </w:tc>
        <w:tc>
          <w:tcPr>
            <w:tcW w:w="2577" w:type="dxa"/>
            <w:vAlign w:val="center"/>
          </w:tcPr>
          <w:p>
            <w:pPr>
              <w:jc w:val="center"/>
              <w:rPr>
                <w:rFonts w:eastAsia="仿宋_GB2312"/>
                <w:sz w:val="24"/>
                <w:szCs w:val="21"/>
              </w:rPr>
            </w:pPr>
            <w:r>
              <w:rPr>
                <w:rFonts w:eastAsia="仿宋_GB2312"/>
                <w:sz w:val="24"/>
                <w:szCs w:val="21"/>
              </w:rPr>
              <w:t>知识产权（标准规范）具体名称</w:t>
            </w:r>
          </w:p>
        </w:tc>
        <w:tc>
          <w:tcPr>
            <w:tcW w:w="992" w:type="dxa"/>
            <w:vAlign w:val="center"/>
          </w:tcPr>
          <w:p>
            <w:pPr>
              <w:jc w:val="center"/>
              <w:rPr>
                <w:rFonts w:eastAsia="仿宋_GB2312"/>
                <w:sz w:val="24"/>
                <w:szCs w:val="21"/>
              </w:rPr>
            </w:pPr>
            <w:r>
              <w:rPr>
                <w:rFonts w:eastAsia="仿宋_GB2312"/>
                <w:sz w:val="24"/>
                <w:szCs w:val="21"/>
              </w:rPr>
              <w:t>国家</w:t>
            </w:r>
          </w:p>
          <w:p>
            <w:pPr>
              <w:jc w:val="center"/>
              <w:rPr>
                <w:rFonts w:eastAsia="仿宋_GB2312"/>
                <w:bCs/>
                <w:snapToGrid w:val="0"/>
                <w:kern w:val="0"/>
                <w:sz w:val="24"/>
                <w:szCs w:val="21"/>
              </w:rPr>
            </w:pPr>
            <w:r>
              <w:rPr>
                <w:rFonts w:eastAsia="仿宋_GB2312"/>
                <w:bCs/>
                <w:snapToGrid w:val="0"/>
                <w:kern w:val="0"/>
                <w:sz w:val="24"/>
                <w:szCs w:val="21"/>
              </w:rPr>
              <w:t>（地区）</w:t>
            </w:r>
          </w:p>
        </w:tc>
        <w:tc>
          <w:tcPr>
            <w:tcW w:w="1655" w:type="dxa"/>
            <w:vAlign w:val="center"/>
          </w:tcPr>
          <w:p>
            <w:pPr>
              <w:jc w:val="center"/>
              <w:rPr>
                <w:rFonts w:eastAsia="仿宋_GB2312"/>
                <w:sz w:val="24"/>
                <w:szCs w:val="21"/>
              </w:rPr>
            </w:pPr>
            <w:r>
              <w:rPr>
                <w:rFonts w:eastAsia="仿宋_GB2312"/>
                <w:sz w:val="24"/>
                <w:szCs w:val="21"/>
              </w:rPr>
              <w:t>授权号</w:t>
            </w:r>
          </w:p>
          <w:p>
            <w:pPr>
              <w:jc w:val="center"/>
              <w:rPr>
                <w:rFonts w:eastAsia="仿宋_GB2312"/>
                <w:sz w:val="24"/>
                <w:szCs w:val="21"/>
              </w:rPr>
            </w:pPr>
            <w:r>
              <w:rPr>
                <w:rFonts w:eastAsia="仿宋_GB2312"/>
                <w:sz w:val="24"/>
                <w:szCs w:val="21"/>
              </w:rPr>
              <w:t>（标准规范编号）</w:t>
            </w:r>
          </w:p>
        </w:tc>
        <w:tc>
          <w:tcPr>
            <w:tcW w:w="1102" w:type="dxa"/>
            <w:vAlign w:val="center"/>
          </w:tcPr>
          <w:p>
            <w:pPr>
              <w:jc w:val="center"/>
              <w:rPr>
                <w:rFonts w:eastAsia="仿宋_GB2312"/>
                <w:sz w:val="24"/>
                <w:szCs w:val="21"/>
              </w:rPr>
            </w:pPr>
            <w:r>
              <w:rPr>
                <w:rFonts w:eastAsia="仿宋_GB2312"/>
                <w:sz w:val="24"/>
                <w:szCs w:val="21"/>
              </w:rPr>
              <w:t>授权（标准发布）日期</w:t>
            </w:r>
          </w:p>
        </w:tc>
        <w:tc>
          <w:tcPr>
            <w:tcW w:w="1213" w:type="dxa"/>
            <w:vAlign w:val="center"/>
          </w:tcPr>
          <w:p>
            <w:pPr>
              <w:jc w:val="center"/>
              <w:rPr>
                <w:rFonts w:eastAsia="仿宋_GB2312"/>
                <w:sz w:val="24"/>
                <w:szCs w:val="21"/>
              </w:rPr>
            </w:pPr>
            <w:r>
              <w:rPr>
                <w:rFonts w:eastAsia="仿宋_GB2312"/>
                <w:sz w:val="24"/>
                <w:szCs w:val="21"/>
              </w:rPr>
              <w:t>证书编号（标准规范批准发布部门）</w:t>
            </w:r>
          </w:p>
        </w:tc>
        <w:tc>
          <w:tcPr>
            <w:tcW w:w="1213" w:type="dxa"/>
            <w:vAlign w:val="center"/>
          </w:tcPr>
          <w:p>
            <w:pPr>
              <w:jc w:val="center"/>
              <w:rPr>
                <w:rFonts w:eastAsia="仿宋_GB2312"/>
                <w:sz w:val="24"/>
                <w:szCs w:val="21"/>
              </w:rPr>
            </w:pPr>
            <w:r>
              <w:rPr>
                <w:rFonts w:eastAsia="仿宋_GB2312"/>
                <w:sz w:val="24"/>
                <w:szCs w:val="21"/>
              </w:rPr>
              <w:t>权利人（标准规范起草单位）</w:t>
            </w:r>
          </w:p>
        </w:tc>
        <w:tc>
          <w:tcPr>
            <w:tcW w:w="2215" w:type="dxa"/>
            <w:vAlign w:val="center"/>
          </w:tcPr>
          <w:p>
            <w:pPr>
              <w:jc w:val="center"/>
              <w:rPr>
                <w:rFonts w:eastAsia="仿宋_GB2312"/>
                <w:sz w:val="24"/>
                <w:szCs w:val="21"/>
              </w:rPr>
            </w:pPr>
            <w:r>
              <w:rPr>
                <w:rFonts w:eastAsia="仿宋_GB2312"/>
                <w:sz w:val="24"/>
                <w:szCs w:val="21"/>
              </w:rPr>
              <w:t>发明人（标准规范起草人）</w:t>
            </w:r>
          </w:p>
        </w:tc>
        <w:tc>
          <w:tcPr>
            <w:tcW w:w="2215" w:type="dxa"/>
            <w:vAlign w:val="center"/>
          </w:tcPr>
          <w:p>
            <w:pPr>
              <w:jc w:val="center"/>
              <w:rPr>
                <w:rFonts w:eastAsia="仿宋_GB2312"/>
                <w:sz w:val="24"/>
                <w:szCs w:val="21"/>
              </w:rPr>
            </w:pPr>
            <w:r>
              <w:rPr>
                <w:rFonts w:eastAsia="仿宋_GB2312"/>
                <w:sz w:val="24"/>
                <w:szCs w:val="21"/>
              </w:rPr>
              <w:t>发明专利（标准规范）有效状态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基于广义扩张状态观测器的网络化大关联运动系统位置同步控制方法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ZL201810860063.2</w:t>
            </w:r>
          </w:p>
        </w:tc>
        <w:tc>
          <w:tcPr>
            <w:tcW w:w="1102" w:type="dxa"/>
          </w:tcPr>
          <w:p>
            <w:pPr>
              <w:rPr>
                <w:rFonts w:eastAsia="仿宋_GB2312"/>
                <w:sz w:val="24"/>
                <w:szCs w:val="24"/>
              </w:rPr>
            </w:pPr>
            <w:r>
              <w:rPr>
                <w:rFonts w:eastAsia="仿宋_GB2312"/>
                <w:sz w:val="24"/>
                <w:szCs w:val="24"/>
              </w:rPr>
              <w:t>2021.12.17</w:t>
            </w:r>
          </w:p>
        </w:tc>
        <w:tc>
          <w:tcPr>
            <w:tcW w:w="1213" w:type="dxa"/>
          </w:tcPr>
          <w:p>
            <w:pPr>
              <w:rPr>
                <w:rFonts w:eastAsia="仿宋_GB2312"/>
                <w:sz w:val="24"/>
                <w:szCs w:val="24"/>
              </w:rPr>
            </w:pPr>
            <w:r>
              <w:rPr>
                <w:rFonts w:eastAsia="仿宋_GB2312"/>
                <w:sz w:val="24"/>
                <w:szCs w:val="24"/>
              </w:rPr>
              <w:t>4852868</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王瑶为，张文安，李同祥，董辉，俞立</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一种基于干扰观测反馈控制技术的IEEE1588时钟同步方法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ZL201610584030.0</w:t>
            </w:r>
          </w:p>
        </w:tc>
        <w:tc>
          <w:tcPr>
            <w:tcW w:w="1102" w:type="dxa"/>
          </w:tcPr>
          <w:p>
            <w:pPr>
              <w:rPr>
                <w:rFonts w:eastAsia="仿宋_GB2312"/>
                <w:sz w:val="24"/>
                <w:szCs w:val="24"/>
              </w:rPr>
            </w:pPr>
            <w:r>
              <w:rPr>
                <w:rFonts w:eastAsia="仿宋_GB2312"/>
                <w:sz w:val="24"/>
                <w:szCs w:val="24"/>
              </w:rPr>
              <w:t>2018.09.07</w:t>
            </w:r>
          </w:p>
        </w:tc>
        <w:tc>
          <w:tcPr>
            <w:tcW w:w="1213" w:type="dxa"/>
          </w:tcPr>
          <w:p>
            <w:pPr>
              <w:rPr>
                <w:rFonts w:eastAsia="仿宋_GB2312"/>
                <w:sz w:val="24"/>
                <w:szCs w:val="24"/>
              </w:rPr>
            </w:pPr>
            <w:r>
              <w:rPr>
                <w:rFonts w:eastAsia="仿宋_GB2312"/>
                <w:sz w:val="24"/>
                <w:szCs w:val="24"/>
              </w:rPr>
              <w:t>3063353</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张文安，张</w:t>
            </w:r>
            <w:r>
              <w:rPr>
                <w:rFonts w:eastAsia="微软雅黑"/>
                <w:sz w:val="24"/>
                <w:szCs w:val="24"/>
              </w:rPr>
              <w:t>鋆</w:t>
            </w:r>
            <w:r>
              <w:rPr>
                <w:rFonts w:eastAsia="仿宋_GB2312"/>
                <w:sz w:val="24"/>
                <w:szCs w:val="24"/>
              </w:rPr>
              <w:t>豪</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一种采用自抗扰控制技术的网络化永磁同步电机时延补偿和控制方法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ZL201410350645.8</w:t>
            </w:r>
          </w:p>
        </w:tc>
        <w:tc>
          <w:tcPr>
            <w:tcW w:w="1102" w:type="dxa"/>
          </w:tcPr>
          <w:p>
            <w:pPr>
              <w:rPr>
                <w:rFonts w:eastAsia="仿宋_GB2312"/>
                <w:sz w:val="24"/>
                <w:szCs w:val="24"/>
              </w:rPr>
            </w:pPr>
            <w:r>
              <w:rPr>
                <w:rFonts w:eastAsia="仿宋_GB2312"/>
                <w:sz w:val="24"/>
                <w:szCs w:val="24"/>
              </w:rPr>
              <w:t>2016.09.14</w:t>
            </w:r>
          </w:p>
        </w:tc>
        <w:tc>
          <w:tcPr>
            <w:tcW w:w="1213" w:type="dxa"/>
          </w:tcPr>
          <w:p>
            <w:pPr>
              <w:rPr>
                <w:rFonts w:eastAsia="仿宋_GB2312"/>
                <w:sz w:val="24"/>
                <w:szCs w:val="24"/>
              </w:rPr>
            </w:pPr>
            <w:r>
              <w:rPr>
                <w:rFonts w:eastAsia="仿宋_GB2312"/>
                <w:sz w:val="24"/>
                <w:szCs w:val="24"/>
              </w:rPr>
              <w:t>2235211</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张文安，刘凯，俞立</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一种基于ESO的网络化运动控制系统迭代学习高精度轮廓跟踪控制方法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ZL201810020696.2</w:t>
            </w:r>
          </w:p>
        </w:tc>
        <w:tc>
          <w:tcPr>
            <w:tcW w:w="1102" w:type="dxa"/>
          </w:tcPr>
          <w:p>
            <w:pPr>
              <w:rPr>
                <w:rFonts w:eastAsia="仿宋_GB2312"/>
                <w:sz w:val="24"/>
                <w:szCs w:val="24"/>
              </w:rPr>
            </w:pPr>
            <w:r>
              <w:rPr>
                <w:rFonts w:eastAsia="仿宋_GB2312"/>
                <w:sz w:val="24"/>
                <w:szCs w:val="24"/>
              </w:rPr>
              <w:t>2020.05.05</w:t>
            </w:r>
          </w:p>
        </w:tc>
        <w:tc>
          <w:tcPr>
            <w:tcW w:w="1213" w:type="dxa"/>
          </w:tcPr>
          <w:p>
            <w:pPr>
              <w:rPr>
                <w:rFonts w:eastAsia="仿宋_GB2312"/>
                <w:sz w:val="24"/>
                <w:szCs w:val="24"/>
              </w:rPr>
            </w:pPr>
            <w:r>
              <w:rPr>
                <w:rFonts w:eastAsia="仿宋_GB2312"/>
                <w:sz w:val="24"/>
                <w:szCs w:val="24"/>
              </w:rPr>
              <w:t>3782225</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吴祥，董辉，王瑶为，张圻，朱乾峰，王军晓，张文安，俞立</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一种双轴运动控制系统的非线性PID交叉耦合控制方法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ZL201810181188.2</w:t>
            </w:r>
          </w:p>
        </w:tc>
        <w:tc>
          <w:tcPr>
            <w:tcW w:w="1102" w:type="dxa"/>
          </w:tcPr>
          <w:p>
            <w:pPr>
              <w:rPr>
                <w:rFonts w:eastAsia="仿宋_GB2312"/>
                <w:sz w:val="24"/>
                <w:szCs w:val="24"/>
              </w:rPr>
            </w:pPr>
            <w:r>
              <w:rPr>
                <w:rFonts w:eastAsia="仿宋_GB2312"/>
                <w:sz w:val="24"/>
                <w:szCs w:val="24"/>
              </w:rPr>
              <w:t>2020.01.10</w:t>
            </w:r>
          </w:p>
        </w:tc>
        <w:tc>
          <w:tcPr>
            <w:tcW w:w="1213" w:type="dxa"/>
          </w:tcPr>
          <w:p>
            <w:pPr>
              <w:rPr>
                <w:rFonts w:eastAsia="仿宋_GB2312"/>
                <w:sz w:val="24"/>
                <w:szCs w:val="24"/>
              </w:rPr>
            </w:pPr>
            <w:r>
              <w:rPr>
                <w:rFonts w:eastAsia="仿宋_GB2312"/>
                <w:sz w:val="24"/>
                <w:szCs w:val="24"/>
              </w:rPr>
              <w:t>3662147</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王瑶为，张文安，吴言穗，吴麒，俞立</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一种基于以太网的机械手运动控制系统</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ZL201310296950.9</w:t>
            </w:r>
          </w:p>
        </w:tc>
        <w:tc>
          <w:tcPr>
            <w:tcW w:w="1102" w:type="dxa"/>
          </w:tcPr>
          <w:p>
            <w:pPr>
              <w:rPr>
                <w:rFonts w:eastAsia="仿宋_GB2312"/>
                <w:sz w:val="24"/>
                <w:szCs w:val="24"/>
              </w:rPr>
            </w:pPr>
            <w:r>
              <w:rPr>
                <w:rFonts w:eastAsia="仿宋_GB2312"/>
                <w:sz w:val="24"/>
                <w:szCs w:val="24"/>
              </w:rPr>
              <w:t>2016.06.08</w:t>
            </w:r>
          </w:p>
        </w:tc>
        <w:tc>
          <w:tcPr>
            <w:tcW w:w="1213" w:type="dxa"/>
          </w:tcPr>
          <w:p>
            <w:pPr>
              <w:rPr>
                <w:rFonts w:eastAsia="仿宋_GB2312"/>
                <w:sz w:val="24"/>
                <w:szCs w:val="24"/>
              </w:rPr>
            </w:pPr>
            <w:r>
              <w:rPr>
                <w:rFonts w:eastAsia="仿宋_GB2312"/>
                <w:sz w:val="24"/>
                <w:szCs w:val="24"/>
              </w:rPr>
              <w:t>2103190</w:t>
            </w:r>
          </w:p>
        </w:tc>
        <w:tc>
          <w:tcPr>
            <w:tcW w:w="1213" w:type="dxa"/>
          </w:tcPr>
          <w:p>
            <w:pPr>
              <w:rPr>
                <w:rFonts w:eastAsia="仿宋_GB2312"/>
                <w:sz w:val="24"/>
                <w:szCs w:val="24"/>
              </w:rPr>
            </w:pPr>
            <w:r>
              <w:rPr>
                <w:rFonts w:hint="eastAsia" w:eastAsia="仿宋_GB2312"/>
                <w:sz w:val="24"/>
                <w:szCs w:val="24"/>
              </w:rPr>
              <w:t>杭州展晖科技有限公司</w:t>
            </w:r>
          </w:p>
        </w:tc>
        <w:tc>
          <w:tcPr>
            <w:tcW w:w="2215" w:type="dxa"/>
          </w:tcPr>
          <w:p>
            <w:pPr>
              <w:rPr>
                <w:rFonts w:eastAsia="仿宋_GB2312"/>
                <w:sz w:val="24"/>
                <w:szCs w:val="24"/>
              </w:rPr>
            </w:pPr>
            <w:r>
              <w:rPr>
                <w:rFonts w:hint="eastAsia" w:eastAsia="仿宋_GB2312"/>
                <w:sz w:val="24"/>
                <w:szCs w:val="24"/>
              </w:rPr>
              <w:t>董辉，高阳，吴祥，罗立锋，仲晓帆，李晓宇</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一种具有时延和丢包网络化系统的动态矩阵控制方法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ZL201510863398.6</w:t>
            </w:r>
          </w:p>
        </w:tc>
        <w:tc>
          <w:tcPr>
            <w:tcW w:w="1102" w:type="dxa"/>
          </w:tcPr>
          <w:p>
            <w:pPr>
              <w:rPr>
                <w:rFonts w:eastAsia="仿宋_GB2312"/>
                <w:sz w:val="24"/>
                <w:szCs w:val="24"/>
              </w:rPr>
            </w:pPr>
            <w:r>
              <w:rPr>
                <w:rFonts w:eastAsia="仿宋_GB2312"/>
                <w:sz w:val="24"/>
                <w:szCs w:val="24"/>
              </w:rPr>
              <w:t>2017.12.29</w:t>
            </w:r>
          </w:p>
        </w:tc>
        <w:tc>
          <w:tcPr>
            <w:tcW w:w="1213" w:type="dxa"/>
          </w:tcPr>
          <w:p>
            <w:pPr>
              <w:rPr>
                <w:rFonts w:eastAsia="仿宋_GB2312"/>
                <w:sz w:val="24"/>
                <w:szCs w:val="24"/>
              </w:rPr>
            </w:pPr>
            <w:r>
              <w:rPr>
                <w:rFonts w:eastAsia="仿宋_GB2312"/>
                <w:sz w:val="24"/>
                <w:szCs w:val="24"/>
              </w:rPr>
              <w:t>2756022</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刘安东，季鹏，张文安，王宏霞，俞立</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一种高精度变插补周期的多轴联动运动控制方法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ZL201310238069.3</w:t>
            </w:r>
          </w:p>
        </w:tc>
        <w:tc>
          <w:tcPr>
            <w:tcW w:w="1102" w:type="dxa"/>
          </w:tcPr>
          <w:p>
            <w:pPr>
              <w:rPr>
                <w:rFonts w:eastAsia="仿宋_GB2312"/>
                <w:sz w:val="24"/>
                <w:szCs w:val="24"/>
              </w:rPr>
            </w:pPr>
            <w:r>
              <w:rPr>
                <w:rFonts w:eastAsia="仿宋_GB2312"/>
                <w:sz w:val="24"/>
                <w:szCs w:val="24"/>
              </w:rPr>
              <w:t>2015.04.29</w:t>
            </w:r>
          </w:p>
        </w:tc>
        <w:tc>
          <w:tcPr>
            <w:tcW w:w="1213" w:type="dxa"/>
          </w:tcPr>
          <w:p>
            <w:pPr>
              <w:rPr>
                <w:rFonts w:eastAsia="仿宋_GB2312"/>
                <w:sz w:val="24"/>
                <w:szCs w:val="24"/>
              </w:rPr>
            </w:pPr>
            <w:r>
              <w:rPr>
                <w:rFonts w:eastAsia="仿宋_GB2312"/>
                <w:sz w:val="24"/>
                <w:szCs w:val="24"/>
              </w:rPr>
              <w:t>1649652</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董辉，罗立锋，仲晓帆，邢科新，俞立，吴祥，高阳</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eastAsia="仿宋_GB2312"/>
                <w:sz w:val="24"/>
                <w:szCs w:val="24"/>
              </w:rPr>
              <w:t>一种桁架机械手的动态规划速度控制方法</w:t>
            </w:r>
          </w:p>
        </w:tc>
        <w:tc>
          <w:tcPr>
            <w:tcW w:w="992" w:type="dxa"/>
          </w:tcPr>
          <w:p>
            <w:pPr>
              <w:rPr>
                <w:rFonts w:eastAsia="仿宋_GB2312"/>
                <w:sz w:val="24"/>
                <w:szCs w:val="24"/>
              </w:rPr>
            </w:pPr>
            <w:r>
              <w:rPr>
                <w:rFonts w:eastAsia="仿宋_GB2312"/>
                <w:sz w:val="24"/>
                <w:szCs w:val="24"/>
              </w:rPr>
              <w:t>中国</w:t>
            </w:r>
          </w:p>
        </w:tc>
        <w:tc>
          <w:tcPr>
            <w:tcW w:w="1655" w:type="dxa"/>
          </w:tcPr>
          <w:p>
            <w:pPr>
              <w:rPr>
                <w:rFonts w:eastAsia="仿宋_GB2312"/>
                <w:sz w:val="24"/>
                <w:szCs w:val="24"/>
              </w:rPr>
            </w:pPr>
            <w:r>
              <w:rPr>
                <w:rFonts w:eastAsia="仿宋_GB2312"/>
                <w:sz w:val="24"/>
                <w:szCs w:val="24"/>
              </w:rPr>
              <w:t>ZL201910067158.3</w:t>
            </w:r>
          </w:p>
        </w:tc>
        <w:tc>
          <w:tcPr>
            <w:tcW w:w="1102" w:type="dxa"/>
          </w:tcPr>
          <w:p>
            <w:pPr>
              <w:rPr>
                <w:rFonts w:eastAsia="仿宋_GB2312"/>
                <w:sz w:val="24"/>
                <w:szCs w:val="24"/>
              </w:rPr>
            </w:pPr>
            <w:r>
              <w:rPr>
                <w:rFonts w:eastAsia="仿宋_GB2312"/>
                <w:sz w:val="24"/>
                <w:szCs w:val="24"/>
              </w:rPr>
              <w:t>2020.08.18</w:t>
            </w:r>
          </w:p>
        </w:tc>
        <w:tc>
          <w:tcPr>
            <w:tcW w:w="1213" w:type="dxa"/>
          </w:tcPr>
          <w:p>
            <w:pPr>
              <w:rPr>
                <w:rFonts w:eastAsia="仿宋_GB2312"/>
                <w:sz w:val="24"/>
                <w:szCs w:val="24"/>
              </w:rPr>
            </w:pPr>
            <w:r>
              <w:rPr>
                <w:rFonts w:eastAsia="仿宋_GB2312"/>
                <w:sz w:val="24"/>
                <w:szCs w:val="24"/>
              </w:rPr>
              <w:t>3947114</w:t>
            </w:r>
          </w:p>
        </w:tc>
        <w:tc>
          <w:tcPr>
            <w:tcW w:w="1213" w:type="dxa"/>
          </w:tcPr>
          <w:p>
            <w:pPr>
              <w:rPr>
                <w:rFonts w:eastAsia="仿宋_GB2312"/>
                <w:sz w:val="24"/>
                <w:szCs w:val="24"/>
              </w:rPr>
            </w:pPr>
            <w:r>
              <w:rPr>
                <w:rFonts w:eastAsia="仿宋_GB2312"/>
                <w:sz w:val="24"/>
                <w:szCs w:val="24"/>
              </w:rPr>
              <w:t>浙江工业大学</w:t>
            </w:r>
          </w:p>
        </w:tc>
        <w:tc>
          <w:tcPr>
            <w:tcW w:w="2215" w:type="dxa"/>
          </w:tcPr>
          <w:p>
            <w:pPr>
              <w:rPr>
                <w:rFonts w:eastAsia="仿宋_GB2312"/>
                <w:sz w:val="24"/>
                <w:szCs w:val="24"/>
              </w:rPr>
            </w:pPr>
            <w:r>
              <w:rPr>
                <w:rFonts w:eastAsia="仿宋_GB2312"/>
                <w:sz w:val="24"/>
                <w:szCs w:val="24"/>
              </w:rPr>
              <w:t>董辉，</w:t>
            </w:r>
            <w:r>
              <w:rPr>
                <w:rFonts w:hint="eastAsia" w:eastAsia="仿宋_GB2312"/>
                <w:sz w:val="24"/>
                <w:szCs w:val="24"/>
              </w:rPr>
              <w:t>林建波，周瑾</w:t>
            </w:r>
          </w:p>
        </w:tc>
        <w:tc>
          <w:tcPr>
            <w:tcW w:w="2215" w:type="dxa"/>
          </w:tcPr>
          <w:p>
            <w:pPr>
              <w:rPr>
                <w:rFonts w:eastAsia="仿宋_GB2312"/>
                <w:sz w:val="24"/>
                <w:szCs w:val="24"/>
              </w:rPr>
            </w:pPr>
            <w:r>
              <w:rPr>
                <w:rFonts w:eastAsia="仿宋_GB2312"/>
                <w:sz w:val="24"/>
                <w:szCs w:val="24"/>
              </w:rPr>
              <w:t>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305" w:type="dxa"/>
          </w:tcPr>
          <w:p>
            <w:pPr>
              <w:rPr>
                <w:rFonts w:eastAsia="仿宋_GB2312"/>
                <w:sz w:val="24"/>
                <w:szCs w:val="24"/>
              </w:rPr>
            </w:pPr>
            <w:r>
              <w:rPr>
                <w:rFonts w:eastAsia="仿宋_GB2312"/>
                <w:sz w:val="24"/>
                <w:szCs w:val="24"/>
              </w:rPr>
              <w:t>发明专利</w:t>
            </w:r>
          </w:p>
        </w:tc>
        <w:tc>
          <w:tcPr>
            <w:tcW w:w="2577" w:type="dxa"/>
          </w:tcPr>
          <w:p>
            <w:pPr>
              <w:rPr>
                <w:rFonts w:eastAsia="仿宋_GB2312"/>
                <w:sz w:val="24"/>
                <w:szCs w:val="24"/>
              </w:rPr>
            </w:pPr>
            <w:r>
              <w:rPr>
                <w:rFonts w:hint="eastAsia" w:eastAsia="仿宋_GB2312"/>
                <w:sz w:val="24"/>
                <w:szCs w:val="24"/>
              </w:rPr>
              <w:t>一种商标模切机高精度联动插补的方法</w:t>
            </w:r>
          </w:p>
        </w:tc>
        <w:tc>
          <w:tcPr>
            <w:tcW w:w="992" w:type="dxa"/>
          </w:tcPr>
          <w:p>
            <w:pPr>
              <w:rPr>
                <w:rFonts w:hint="eastAsia" w:ascii="仿宋_GB2312" w:eastAsia="仿宋_GB2312"/>
                <w:sz w:val="24"/>
                <w:szCs w:val="24"/>
              </w:rPr>
            </w:pPr>
            <w:r>
              <w:rPr>
                <w:rFonts w:hint="eastAsia" w:ascii="仿宋_GB2312" w:eastAsia="仿宋_GB2312"/>
                <w:sz w:val="24"/>
                <w:szCs w:val="24"/>
              </w:rPr>
              <w:t>中国</w:t>
            </w:r>
          </w:p>
        </w:tc>
        <w:tc>
          <w:tcPr>
            <w:tcW w:w="1655" w:type="dxa"/>
          </w:tcPr>
          <w:p>
            <w:pPr>
              <w:rPr>
                <w:rFonts w:eastAsia="仿宋_GB2312"/>
                <w:sz w:val="24"/>
                <w:szCs w:val="24"/>
              </w:rPr>
            </w:pPr>
            <w:r>
              <w:rPr>
                <w:rFonts w:hint="eastAsia"/>
                <w:sz w:val="24"/>
                <w:szCs w:val="24"/>
              </w:rPr>
              <w:t>ZL202010505083.5</w:t>
            </w:r>
          </w:p>
        </w:tc>
        <w:tc>
          <w:tcPr>
            <w:tcW w:w="1102" w:type="dxa"/>
          </w:tcPr>
          <w:p>
            <w:pPr>
              <w:rPr>
                <w:rFonts w:eastAsia="仿宋_GB2312"/>
                <w:sz w:val="24"/>
                <w:szCs w:val="24"/>
              </w:rPr>
            </w:pPr>
            <w:r>
              <w:rPr>
                <w:rFonts w:hint="eastAsia"/>
                <w:sz w:val="24"/>
                <w:szCs w:val="24"/>
              </w:rPr>
              <w:t>2021.10.08</w:t>
            </w:r>
          </w:p>
        </w:tc>
        <w:tc>
          <w:tcPr>
            <w:tcW w:w="1213" w:type="dxa"/>
          </w:tcPr>
          <w:p>
            <w:pPr>
              <w:rPr>
                <w:rFonts w:eastAsia="仿宋_GB2312"/>
                <w:sz w:val="24"/>
                <w:szCs w:val="24"/>
              </w:rPr>
            </w:pPr>
            <w:r>
              <w:rPr>
                <w:rFonts w:hint="eastAsia"/>
                <w:sz w:val="24"/>
                <w:szCs w:val="24"/>
              </w:rPr>
              <w:t>4721076</w:t>
            </w:r>
          </w:p>
        </w:tc>
        <w:tc>
          <w:tcPr>
            <w:tcW w:w="1213" w:type="dxa"/>
          </w:tcPr>
          <w:p>
            <w:pPr>
              <w:rPr>
                <w:rFonts w:hint="eastAsia" w:ascii="仿宋_GB2312" w:eastAsia="仿宋_GB2312"/>
                <w:sz w:val="24"/>
                <w:szCs w:val="24"/>
              </w:rPr>
            </w:pPr>
            <w:r>
              <w:rPr>
                <w:rFonts w:hint="eastAsia" w:ascii="仿宋_GB2312" w:eastAsia="仿宋_GB2312"/>
                <w:sz w:val="24"/>
                <w:szCs w:val="24"/>
              </w:rPr>
              <w:t>浙江工业大学</w:t>
            </w:r>
          </w:p>
        </w:tc>
        <w:tc>
          <w:tcPr>
            <w:tcW w:w="2215" w:type="dxa"/>
          </w:tcPr>
          <w:p>
            <w:pPr>
              <w:rPr>
                <w:rFonts w:hint="eastAsia" w:ascii="仿宋_GB2312" w:eastAsia="仿宋_GB2312"/>
                <w:sz w:val="24"/>
                <w:szCs w:val="24"/>
              </w:rPr>
            </w:pPr>
            <w:r>
              <w:rPr>
                <w:rFonts w:hint="eastAsia" w:ascii="仿宋_GB2312" w:eastAsia="仿宋_GB2312"/>
                <w:sz w:val="24"/>
                <w:szCs w:val="24"/>
              </w:rPr>
              <w:t>董辉，仲济磊，葛天飞，罗帅，尹超，吴祥</w:t>
            </w:r>
          </w:p>
        </w:tc>
        <w:tc>
          <w:tcPr>
            <w:tcW w:w="2215" w:type="dxa"/>
          </w:tcPr>
          <w:p>
            <w:pPr>
              <w:rPr>
                <w:rFonts w:eastAsia="仿宋_GB2312"/>
                <w:sz w:val="24"/>
                <w:szCs w:val="24"/>
              </w:rPr>
            </w:pPr>
            <w:r>
              <w:rPr>
                <w:rFonts w:eastAsia="仿宋_GB2312"/>
                <w:sz w:val="24"/>
                <w:szCs w:val="24"/>
              </w:rPr>
              <w:t>有效</w:t>
            </w:r>
          </w:p>
        </w:tc>
      </w:tr>
    </w:tbl>
    <w:p>
      <w:pPr>
        <w:ind w:firstLine="482" w:firstLineChars="200"/>
        <w:rPr>
          <w:rFonts w:eastAsia="仿宋_GB2312"/>
          <w:bCs/>
          <w:sz w:val="24"/>
          <w:szCs w:val="28"/>
        </w:rPr>
      </w:pPr>
      <w:r>
        <w:rPr>
          <w:rFonts w:eastAsia="仿宋_GB2312"/>
          <w:b/>
          <w:bCs/>
          <w:sz w:val="24"/>
          <w:szCs w:val="28"/>
        </w:rPr>
        <w:t>承诺：</w:t>
      </w:r>
      <w:r>
        <w:rPr>
          <w:rFonts w:eastAsia="仿宋_GB2312"/>
          <w:bCs/>
          <w:sz w:val="24"/>
          <w:szCs w:val="28"/>
        </w:rPr>
        <w:t>上述知识产权符合提名要求且无争议。以上知识产权和标准规范用于提名2021年度省技术发明奖的情况，已征得未列入成果完成单位或完成人的发明人、权利人的同意，有关知情证明材料均存档备案。</w:t>
      </w:r>
    </w:p>
    <w:p>
      <w:pPr>
        <w:ind w:firstLine="480" w:firstLineChars="200"/>
        <w:rPr>
          <w:rFonts w:eastAsia="仿宋_GB2312"/>
          <w:bCs/>
          <w:sz w:val="24"/>
          <w:szCs w:val="24"/>
        </w:rPr>
      </w:pPr>
    </w:p>
    <w:p>
      <w:pPr>
        <w:ind w:firstLine="480" w:firstLineChars="200"/>
        <w:jc w:val="left"/>
        <w:rPr>
          <w:rFonts w:eastAsia="黑体"/>
          <w:sz w:val="32"/>
          <w:szCs w:val="32"/>
        </w:rPr>
      </w:pPr>
      <w:r>
        <w:rPr>
          <w:rFonts w:eastAsia="仿宋_GB2312"/>
          <w:bCs/>
          <w:sz w:val="24"/>
          <w:szCs w:val="24"/>
        </w:rPr>
        <w:t xml:space="preserve">                                                                                      </w:t>
      </w:r>
      <w:r>
        <w:rPr>
          <w:rFonts w:eastAsia="仿宋_GB2312"/>
          <w:sz w:val="24"/>
          <w:szCs w:val="24"/>
        </w:rPr>
        <w:t xml:space="preserve"> 第一完成人签字：</w:t>
      </w:r>
    </w:p>
    <w:p>
      <w:pPr>
        <w:adjustRightInd w:val="0"/>
        <w:snapToGrid w:val="0"/>
        <w:spacing w:line="560" w:lineRule="exact"/>
        <w:rPr>
          <w:rFonts w:eastAsia="仿宋_GB2312"/>
          <w:sz w:val="24"/>
          <w:szCs w:val="24"/>
        </w:rPr>
      </w:pPr>
    </w:p>
    <w:sectPr>
      <w:pgSz w:w="16838" w:h="11906" w:orient="landscape"/>
      <w:pgMar w:top="1418" w:right="1247" w:bottom="1134"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44FCDB-602B-46BD-83BC-598FD5E14148}"/>
  </w:font>
  <w:font w:name="Arial">
    <w:panose1 w:val="020B0604020202020204"/>
    <w:charset w:val="01"/>
    <w:family w:val="swiss"/>
    <w:pitch w:val="default"/>
    <w:sig w:usb0="E0002EFF" w:usb1="C000785B" w:usb2="00000009" w:usb3="00000000" w:csb0="400001FF" w:csb1="FFFF0000"/>
    <w:embedRegular r:id="rId2" w:fontKey="{9E214EE9-AB5C-4813-9ED2-98F8452EE4F9}"/>
  </w:font>
  <w:font w:name="黑体">
    <w:panose1 w:val="02010609060101010101"/>
    <w:charset w:val="86"/>
    <w:family w:val="auto"/>
    <w:pitch w:val="default"/>
    <w:sig w:usb0="800002BF" w:usb1="38CF7CFA" w:usb2="00000016" w:usb3="00000000" w:csb0="00040001" w:csb1="00000000"/>
    <w:embedRegular r:id="rId3" w:fontKey="{CB2F491B-A482-41DB-91DD-AD39D4C5E538}"/>
  </w:font>
  <w:font w:name="Courier New">
    <w:panose1 w:val="02070309020205020404"/>
    <w:charset w:val="01"/>
    <w:family w:val="modern"/>
    <w:pitch w:val="default"/>
    <w:sig w:usb0="E0002EFF" w:usb1="C0007843" w:usb2="00000009" w:usb3="00000000" w:csb0="400001FF" w:csb1="FFFF0000"/>
    <w:embedRegular r:id="rId4" w:fontKey="{CDBDEB5E-E63A-48F1-82E3-3A4B143A0337}"/>
  </w:font>
  <w:font w:name="Symbol">
    <w:panose1 w:val="05050102010706020507"/>
    <w:charset w:val="02"/>
    <w:family w:val="roman"/>
    <w:pitch w:val="default"/>
    <w:sig w:usb0="00000000" w:usb1="00000000" w:usb2="00000000" w:usb3="00000000" w:csb0="80000000" w:csb1="00000000"/>
    <w:embedRegular r:id="rId5" w:fontKey="{8B74B446-60C1-4DD7-9AAA-7C3974FC4A41}"/>
  </w:font>
  <w:font w:name="Calibri">
    <w:panose1 w:val="020F0502020204030204"/>
    <w:charset w:val="00"/>
    <w:family w:val="swiss"/>
    <w:pitch w:val="default"/>
    <w:sig w:usb0="E4002EFF" w:usb1="C000247B" w:usb2="00000009" w:usb3="00000000" w:csb0="200001FF" w:csb1="00000000"/>
    <w:embedRegular r:id="rId6" w:fontKey="{9648AE57-0626-4A8A-B55B-9EA4E02553C7}"/>
  </w:font>
  <w:font w:name="Cambria">
    <w:panose1 w:val="02040503050406030204"/>
    <w:charset w:val="00"/>
    <w:family w:val="roman"/>
    <w:pitch w:val="default"/>
    <w:sig w:usb0="E00006FF" w:usb1="420024FF" w:usb2="02000000" w:usb3="00000000" w:csb0="2000019F" w:csb1="00000000"/>
    <w:embedRegular r:id="rId7" w:fontKey="{23A49862-1A88-4710-B848-86271E1C8E1A}"/>
  </w:font>
  <w:font w:name="仿宋_GB2312">
    <w:panose1 w:val="02010609030101010101"/>
    <w:charset w:val="86"/>
    <w:family w:val="modern"/>
    <w:pitch w:val="default"/>
    <w:sig w:usb0="00000001" w:usb1="080E0000" w:usb2="00000000" w:usb3="00000000" w:csb0="00040000" w:csb1="00000000"/>
    <w:embedRegular r:id="rId8" w:fontKey="{9836FCDB-9863-434A-9790-7A13AFC52149}"/>
  </w:font>
  <w:font w:name="方正仿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9" w:fontKey="{FDB736D0-9BB2-4F17-82AF-E43B0A691005}"/>
  </w:font>
  <w:font w:name="方正小标宋简体">
    <w:altName w:val="黑体"/>
    <w:panose1 w:val="00000000000000000000"/>
    <w:charset w:val="86"/>
    <w:family w:val="script"/>
    <w:pitch w:val="default"/>
    <w:sig w:usb0="00000000" w:usb1="00000000" w:usb2="00000000" w:usb3="00000000" w:csb0="00040000" w:csb1="00000000"/>
    <w:embedRegular r:id="rId10" w:fontKey="{BF026922-4237-4238-9B94-87971BB756A7}"/>
  </w:font>
  <w:font w:name="仿宋">
    <w:panose1 w:val="02010609060101010101"/>
    <w:charset w:val="86"/>
    <w:family w:val="modern"/>
    <w:pitch w:val="default"/>
    <w:sig w:usb0="800002BF" w:usb1="38CF7CFA" w:usb2="00000016" w:usb3="00000000" w:csb0="00040001" w:csb1="00000000"/>
    <w:embedRegular r:id="rId11" w:fontKey="{B378BF46-694C-4A69-B78D-DC91CF1E1DF1}"/>
  </w:font>
  <w:font w:name="方正黑体简体">
    <w:altName w:val="微软雅黑"/>
    <w:panose1 w:val="00000000000000000000"/>
    <w:charset w:val="86"/>
    <w:family w:val="auto"/>
    <w:pitch w:val="default"/>
    <w:sig w:usb0="00000000" w:usb1="00000000" w:usb2="00000000" w:usb3="00000000" w:csb0="00040000" w:csb1="00000000"/>
    <w:embedRegular r:id="rId12" w:fontKey="{00E6F3B5-A93E-4F5A-9F62-A5B4B8F25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00006056"/>
    <w:rsid w:val="00007BBE"/>
    <w:rsid w:val="000165DC"/>
    <w:rsid w:val="00031E44"/>
    <w:rsid w:val="00033288"/>
    <w:rsid w:val="0004004D"/>
    <w:rsid w:val="00051BE3"/>
    <w:rsid w:val="00053F24"/>
    <w:rsid w:val="0006546D"/>
    <w:rsid w:val="00067E32"/>
    <w:rsid w:val="00083906"/>
    <w:rsid w:val="000847FC"/>
    <w:rsid w:val="000879FC"/>
    <w:rsid w:val="000929AE"/>
    <w:rsid w:val="000A0FE4"/>
    <w:rsid w:val="000B70B3"/>
    <w:rsid w:val="000C632A"/>
    <w:rsid w:val="000F1229"/>
    <w:rsid w:val="000F132D"/>
    <w:rsid w:val="000F2CC3"/>
    <w:rsid w:val="000F6066"/>
    <w:rsid w:val="000F6517"/>
    <w:rsid w:val="000F6B39"/>
    <w:rsid w:val="000F7732"/>
    <w:rsid w:val="001039E9"/>
    <w:rsid w:val="00104F03"/>
    <w:rsid w:val="0011011A"/>
    <w:rsid w:val="0012430D"/>
    <w:rsid w:val="00142646"/>
    <w:rsid w:val="001435CC"/>
    <w:rsid w:val="00153E23"/>
    <w:rsid w:val="00154376"/>
    <w:rsid w:val="001553CE"/>
    <w:rsid w:val="001614FC"/>
    <w:rsid w:val="00165962"/>
    <w:rsid w:val="0017168F"/>
    <w:rsid w:val="00172167"/>
    <w:rsid w:val="0017309F"/>
    <w:rsid w:val="001829B2"/>
    <w:rsid w:val="00185449"/>
    <w:rsid w:val="00192701"/>
    <w:rsid w:val="0019371C"/>
    <w:rsid w:val="00196AB6"/>
    <w:rsid w:val="001A5554"/>
    <w:rsid w:val="001A55E6"/>
    <w:rsid w:val="001B0C22"/>
    <w:rsid w:val="001B454D"/>
    <w:rsid w:val="001C4D6D"/>
    <w:rsid w:val="001D3908"/>
    <w:rsid w:val="001F032B"/>
    <w:rsid w:val="001F2C76"/>
    <w:rsid w:val="001F630A"/>
    <w:rsid w:val="001F7F40"/>
    <w:rsid w:val="002006C0"/>
    <w:rsid w:val="00212129"/>
    <w:rsid w:val="00213CE9"/>
    <w:rsid w:val="0021734C"/>
    <w:rsid w:val="002242B0"/>
    <w:rsid w:val="002247F4"/>
    <w:rsid w:val="00230FE9"/>
    <w:rsid w:val="0023223F"/>
    <w:rsid w:val="00244749"/>
    <w:rsid w:val="00247A49"/>
    <w:rsid w:val="00251808"/>
    <w:rsid w:val="002579D1"/>
    <w:rsid w:val="00260383"/>
    <w:rsid w:val="002745F8"/>
    <w:rsid w:val="00283031"/>
    <w:rsid w:val="002922A5"/>
    <w:rsid w:val="0029509E"/>
    <w:rsid w:val="00296134"/>
    <w:rsid w:val="002A2925"/>
    <w:rsid w:val="002A7955"/>
    <w:rsid w:val="002B3198"/>
    <w:rsid w:val="002C6803"/>
    <w:rsid w:val="002C6E65"/>
    <w:rsid w:val="002D1FA7"/>
    <w:rsid w:val="002D3BA3"/>
    <w:rsid w:val="002D5AB6"/>
    <w:rsid w:val="002D76A1"/>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1161"/>
    <w:rsid w:val="00356B8A"/>
    <w:rsid w:val="00363C7E"/>
    <w:rsid w:val="00370977"/>
    <w:rsid w:val="00370E7C"/>
    <w:rsid w:val="003728A6"/>
    <w:rsid w:val="00377C1C"/>
    <w:rsid w:val="00382214"/>
    <w:rsid w:val="00382EDD"/>
    <w:rsid w:val="00386D85"/>
    <w:rsid w:val="003A08CF"/>
    <w:rsid w:val="003A343A"/>
    <w:rsid w:val="003A466E"/>
    <w:rsid w:val="003A5D0E"/>
    <w:rsid w:val="003A60A7"/>
    <w:rsid w:val="003B0906"/>
    <w:rsid w:val="003B2A50"/>
    <w:rsid w:val="003B3345"/>
    <w:rsid w:val="003B6A7F"/>
    <w:rsid w:val="003C1234"/>
    <w:rsid w:val="003C4124"/>
    <w:rsid w:val="003E35B4"/>
    <w:rsid w:val="003E6BFB"/>
    <w:rsid w:val="003F0278"/>
    <w:rsid w:val="003F1E9D"/>
    <w:rsid w:val="003F76A0"/>
    <w:rsid w:val="00401E30"/>
    <w:rsid w:val="004179C8"/>
    <w:rsid w:val="00427A6E"/>
    <w:rsid w:val="004300EE"/>
    <w:rsid w:val="00442705"/>
    <w:rsid w:val="00444A55"/>
    <w:rsid w:val="0044700B"/>
    <w:rsid w:val="0044760A"/>
    <w:rsid w:val="004478FD"/>
    <w:rsid w:val="00447C49"/>
    <w:rsid w:val="00453528"/>
    <w:rsid w:val="00453C0E"/>
    <w:rsid w:val="00461A90"/>
    <w:rsid w:val="004820BD"/>
    <w:rsid w:val="00484A1D"/>
    <w:rsid w:val="00484D69"/>
    <w:rsid w:val="004929AC"/>
    <w:rsid w:val="00492EAC"/>
    <w:rsid w:val="004A6419"/>
    <w:rsid w:val="004B531C"/>
    <w:rsid w:val="004B692B"/>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48EC"/>
    <w:rsid w:val="00526964"/>
    <w:rsid w:val="00532D5A"/>
    <w:rsid w:val="005354E4"/>
    <w:rsid w:val="00552729"/>
    <w:rsid w:val="005663D6"/>
    <w:rsid w:val="00570701"/>
    <w:rsid w:val="0057414B"/>
    <w:rsid w:val="0057576E"/>
    <w:rsid w:val="0058367D"/>
    <w:rsid w:val="005860DC"/>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5290E"/>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E6AEE"/>
    <w:rsid w:val="006F0C81"/>
    <w:rsid w:val="006F5EED"/>
    <w:rsid w:val="006F7780"/>
    <w:rsid w:val="007070AC"/>
    <w:rsid w:val="007116D0"/>
    <w:rsid w:val="00713BAC"/>
    <w:rsid w:val="00725CE5"/>
    <w:rsid w:val="0073019F"/>
    <w:rsid w:val="00734046"/>
    <w:rsid w:val="00735560"/>
    <w:rsid w:val="00736027"/>
    <w:rsid w:val="00736BAB"/>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C6175"/>
    <w:rsid w:val="007C7B6B"/>
    <w:rsid w:val="007D26E7"/>
    <w:rsid w:val="007D5786"/>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3E83"/>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F00CA"/>
    <w:rsid w:val="0090595F"/>
    <w:rsid w:val="0090670A"/>
    <w:rsid w:val="00906781"/>
    <w:rsid w:val="009211BA"/>
    <w:rsid w:val="00922838"/>
    <w:rsid w:val="00930D62"/>
    <w:rsid w:val="009339E2"/>
    <w:rsid w:val="00942CCA"/>
    <w:rsid w:val="00945930"/>
    <w:rsid w:val="00947118"/>
    <w:rsid w:val="009529F5"/>
    <w:rsid w:val="009572C9"/>
    <w:rsid w:val="009607CA"/>
    <w:rsid w:val="0096088C"/>
    <w:rsid w:val="009728CB"/>
    <w:rsid w:val="00975273"/>
    <w:rsid w:val="009764E0"/>
    <w:rsid w:val="0098148B"/>
    <w:rsid w:val="0098376C"/>
    <w:rsid w:val="00983F16"/>
    <w:rsid w:val="00984A71"/>
    <w:rsid w:val="00985B39"/>
    <w:rsid w:val="009866EC"/>
    <w:rsid w:val="0099382A"/>
    <w:rsid w:val="009945C7"/>
    <w:rsid w:val="00994C12"/>
    <w:rsid w:val="009A3A67"/>
    <w:rsid w:val="009D1070"/>
    <w:rsid w:val="009D2804"/>
    <w:rsid w:val="009D3350"/>
    <w:rsid w:val="009D66DD"/>
    <w:rsid w:val="009F0766"/>
    <w:rsid w:val="009F19B6"/>
    <w:rsid w:val="009F4B40"/>
    <w:rsid w:val="00A03853"/>
    <w:rsid w:val="00A11F99"/>
    <w:rsid w:val="00A13481"/>
    <w:rsid w:val="00A156D9"/>
    <w:rsid w:val="00A243BC"/>
    <w:rsid w:val="00A27943"/>
    <w:rsid w:val="00A31D43"/>
    <w:rsid w:val="00A36061"/>
    <w:rsid w:val="00A402C6"/>
    <w:rsid w:val="00A5008B"/>
    <w:rsid w:val="00A513DA"/>
    <w:rsid w:val="00A65CD4"/>
    <w:rsid w:val="00A70F4C"/>
    <w:rsid w:val="00A736E3"/>
    <w:rsid w:val="00AA54EC"/>
    <w:rsid w:val="00AA6478"/>
    <w:rsid w:val="00AA6A67"/>
    <w:rsid w:val="00AB2670"/>
    <w:rsid w:val="00AB2B0F"/>
    <w:rsid w:val="00AC096E"/>
    <w:rsid w:val="00AC5736"/>
    <w:rsid w:val="00AC69B7"/>
    <w:rsid w:val="00AC7691"/>
    <w:rsid w:val="00AD5CF0"/>
    <w:rsid w:val="00AD689E"/>
    <w:rsid w:val="00AD7D6F"/>
    <w:rsid w:val="00AE164E"/>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A5FD9"/>
    <w:rsid w:val="00BB47F3"/>
    <w:rsid w:val="00BD0ED0"/>
    <w:rsid w:val="00BE7259"/>
    <w:rsid w:val="00C10571"/>
    <w:rsid w:val="00C24E7B"/>
    <w:rsid w:val="00C36E42"/>
    <w:rsid w:val="00C44A16"/>
    <w:rsid w:val="00C51DAF"/>
    <w:rsid w:val="00C52425"/>
    <w:rsid w:val="00C555AC"/>
    <w:rsid w:val="00C56CDE"/>
    <w:rsid w:val="00C5764E"/>
    <w:rsid w:val="00C64274"/>
    <w:rsid w:val="00C65487"/>
    <w:rsid w:val="00C65987"/>
    <w:rsid w:val="00C67B3F"/>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5D09"/>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0B74"/>
    <w:rsid w:val="00DF2AD8"/>
    <w:rsid w:val="00DF5258"/>
    <w:rsid w:val="00DF7FCB"/>
    <w:rsid w:val="00E066BD"/>
    <w:rsid w:val="00E1736F"/>
    <w:rsid w:val="00E17FF5"/>
    <w:rsid w:val="00E26009"/>
    <w:rsid w:val="00E3162A"/>
    <w:rsid w:val="00E37C85"/>
    <w:rsid w:val="00E407C9"/>
    <w:rsid w:val="00E44237"/>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028D9"/>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3A6170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CA70CF6"/>
    <w:rsid w:val="1D934311"/>
    <w:rsid w:val="1F096FB1"/>
    <w:rsid w:val="22873147"/>
    <w:rsid w:val="229233C9"/>
    <w:rsid w:val="23737E65"/>
    <w:rsid w:val="23DA218B"/>
    <w:rsid w:val="27143262"/>
    <w:rsid w:val="29F90ABD"/>
    <w:rsid w:val="2A1B5000"/>
    <w:rsid w:val="2A213392"/>
    <w:rsid w:val="2A5700B2"/>
    <w:rsid w:val="2AC96FF6"/>
    <w:rsid w:val="2B5E7BEB"/>
    <w:rsid w:val="2D441354"/>
    <w:rsid w:val="2D5304A2"/>
    <w:rsid w:val="2D68079A"/>
    <w:rsid w:val="2DF700D9"/>
    <w:rsid w:val="2E4550FC"/>
    <w:rsid w:val="2E514683"/>
    <w:rsid w:val="2E8248EA"/>
    <w:rsid w:val="2EBACCEC"/>
    <w:rsid w:val="2F276578"/>
    <w:rsid w:val="2FFC7DCE"/>
    <w:rsid w:val="32C1444F"/>
    <w:rsid w:val="369A3F7B"/>
    <w:rsid w:val="374F01EB"/>
    <w:rsid w:val="376D011C"/>
    <w:rsid w:val="38891DB8"/>
    <w:rsid w:val="38A16843"/>
    <w:rsid w:val="398F5D75"/>
    <w:rsid w:val="3ABA7D5B"/>
    <w:rsid w:val="3C4F4F38"/>
    <w:rsid w:val="3CE416AE"/>
    <w:rsid w:val="3EAD0C0C"/>
    <w:rsid w:val="3F7FF403"/>
    <w:rsid w:val="436C4015"/>
    <w:rsid w:val="43D025F5"/>
    <w:rsid w:val="472502D7"/>
    <w:rsid w:val="472E36B4"/>
    <w:rsid w:val="48B76D8F"/>
    <w:rsid w:val="49DD2383"/>
    <w:rsid w:val="4CA639F1"/>
    <w:rsid w:val="4EA400FC"/>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21B61D2"/>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修订1"/>
    <w:hidden/>
    <w:semiHidden/>
    <w:qFormat/>
    <w:uiPriority w:val="99"/>
    <w:rPr>
      <w:rFonts w:ascii="Times New Roman" w:hAnsi="Times New Roman" w:eastAsia="宋体" w:cs="Times New Roman"/>
      <w:kern w:val="2"/>
      <w:sz w:val="21"/>
      <w:lang w:val="en-US" w:eastAsia="zh-CN" w:bidi="ar-SA"/>
    </w:rPr>
  </w:style>
  <w:style w:type="paragraph" w:customStyle="1" w:styleId="39">
    <w:name w:val="修订2"/>
    <w:hidden/>
    <w:semiHidden/>
    <w:qFormat/>
    <w:uiPriority w:val="99"/>
    <w:rPr>
      <w:rFonts w:ascii="Times New Roman" w:hAnsi="Times New Roman" w:eastAsia="宋体" w:cs="Times New Roman"/>
      <w:kern w:val="2"/>
      <w:sz w:val="21"/>
      <w:lang w:val="en-US" w:eastAsia="zh-CN" w:bidi="ar-SA"/>
    </w:rPr>
  </w:style>
  <w:style w:type="paragraph" w:customStyle="1" w:styleId="40">
    <w:name w:val="Revision"/>
    <w:hidden/>
    <w:semiHidden/>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321</Words>
  <Characters>1836</Characters>
  <Lines>15</Lines>
  <Paragraphs>4</Paragraphs>
  <TotalTime>15</TotalTime>
  <ScaleCrop>false</ScaleCrop>
  <LinksUpToDate>false</LinksUpToDate>
  <CharactersWithSpaces>2153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2022-02-16T01:25:00Z</dcterms:created>
  <dc:creator>胡胜链</dc:creator>
  <cp:lastModifiedBy>zwj，</cp:lastModifiedBy>
  <cp:lastPrinted>2022-01-25T09:53:00Z</cp:lastPrinted>
  <dcterms:modified xsi:type="dcterms:W3CDTF">2022-02-26T12:44:11Z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0A2F2CCD1D00480C883FD49143D1ADF5</vt:lpwstr>
  </property>
</Properties>
</file>